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C1F38">
      <w:pPr>
        <w:spacing w:before="55" w:line="221" w:lineRule="auto"/>
        <w:ind w:left="3865"/>
        <w:outlineLvl w:val="0"/>
        <w:rPr>
          <w:rFonts w:ascii="宋体" w:hAnsi="宋体" w:eastAsia="宋体" w:cs="宋体"/>
          <w:sz w:val="28"/>
          <w:szCs w:val="28"/>
          <w:lang w:eastAsia="zh-CN"/>
        </w:rPr>
      </w:pPr>
      <w:bookmarkStart w:id="0" w:name="OLE_LINK5"/>
      <w:r>
        <w:rPr>
          <w:rFonts w:ascii="宋体" w:hAnsi="宋体" w:eastAsia="宋体" w:cs="宋体"/>
          <w:b/>
          <w:bCs/>
          <w:spacing w:val="-12"/>
          <w:sz w:val="28"/>
          <w:szCs w:val="28"/>
          <w:lang w:eastAsia="zh-CN"/>
        </w:rPr>
        <w:t>参</w:t>
      </w:r>
      <w:r>
        <w:rPr>
          <w:rFonts w:ascii="宋体" w:hAnsi="宋体" w:eastAsia="宋体" w:cs="宋体"/>
          <w:spacing w:val="15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28"/>
          <w:szCs w:val="28"/>
          <w:lang w:eastAsia="zh-CN"/>
        </w:rPr>
        <w:t>展</w:t>
      </w:r>
      <w:r>
        <w:rPr>
          <w:rFonts w:ascii="宋体" w:hAnsi="宋体" w:eastAsia="宋体" w:cs="宋体"/>
          <w:spacing w:val="28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28"/>
          <w:szCs w:val="28"/>
          <w:lang w:eastAsia="zh-CN"/>
        </w:rPr>
        <w:t>费</w:t>
      </w:r>
      <w:r>
        <w:rPr>
          <w:rFonts w:ascii="宋体" w:hAnsi="宋体" w:eastAsia="宋体" w:cs="宋体"/>
          <w:spacing w:val="14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28"/>
          <w:szCs w:val="28"/>
          <w:lang w:eastAsia="zh-CN"/>
        </w:rPr>
        <w:t>用</w:t>
      </w:r>
      <w:r>
        <w:rPr>
          <w:rFonts w:ascii="宋体" w:hAnsi="宋体" w:eastAsia="宋体" w:cs="宋体"/>
          <w:spacing w:val="14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28"/>
          <w:szCs w:val="28"/>
          <w:lang w:eastAsia="zh-CN"/>
        </w:rPr>
        <w:t>标</w:t>
      </w:r>
      <w:r>
        <w:rPr>
          <w:rFonts w:ascii="宋体" w:hAnsi="宋体" w:eastAsia="宋体" w:cs="宋体"/>
          <w:spacing w:val="-12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28"/>
          <w:szCs w:val="28"/>
          <w:lang w:eastAsia="zh-CN"/>
        </w:rPr>
        <w:t>准</w:t>
      </w:r>
      <w:r>
        <w:rPr>
          <w:rFonts w:ascii="宋体" w:hAnsi="宋体" w:eastAsia="宋体" w:cs="宋体"/>
          <w:spacing w:val="12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28"/>
          <w:szCs w:val="28"/>
          <w:lang w:eastAsia="zh-CN"/>
        </w:rPr>
        <w:t>表</w:t>
      </w:r>
    </w:p>
    <w:bookmarkEnd w:id="0"/>
    <w:p w14:paraId="2AF3C1CB">
      <w:pPr>
        <w:spacing w:line="299" w:lineRule="auto"/>
        <w:rPr>
          <w:lang w:eastAsia="zh-CN"/>
        </w:rPr>
      </w:pPr>
    </w:p>
    <w:p w14:paraId="5BA016E0">
      <w:pPr>
        <w:spacing w:before="91" w:line="213" w:lineRule="auto"/>
        <w:ind w:left="18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楷体" w:hAnsi="楷体" w:eastAsia="楷体" w:cs="楷体"/>
          <w:spacing w:val="-11"/>
          <w:sz w:val="28"/>
          <w:szCs w:val="28"/>
          <w:lang w:eastAsia="zh-CN"/>
        </w:rPr>
        <w:t>附件</w:t>
      </w:r>
      <w:r>
        <w:rPr>
          <w:rFonts w:hint="eastAsia" w:ascii="楷体" w:hAnsi="楷体" w:eastAsia="楷体" w:cs="楷体"/>
          <w:spacing w:val="-11"/>
          <w:sz w:val="28"/>
          <w:szCs w:val="28"/>
          <w:lang w:eastAsia="zh-CN"/>
        </w:rPr>
        <w:t>2</w:t>
      </w:r>
      <w:r>
        <w:rPr>
          <w:rFonts w:ascii="宋体" w:hAnsi="宋体" w:eastAsia="宋体" w:cs="宋体"/>
          <w:spacing w:val="-11"/>
          <w:sz w:val="24"/>
          <w:szCs w:val="24"/>
          <w:lang w:eastAsia="zh-CN"/>
        </w:rPr>
        <w:t>：</w:t>
      </w:r>
    </w:p>
    <w:tbl>
      <w:tblPr>
        <w:tblStyle w:val="6"/>
        <w:tblW w:w="1046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1467"/>
        <w:gridCol w:w="3747"/>
        <w:gridCol w:w="2181"/>
        <w:gridCol w:w="2203"/>
      </w:tblGrid>
      <w:tr w14:paraId="2CCEF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62" w:type="dxa"/>
            <w:tcBorders>
              <w:top w:val="single" w:color="000000" w:sz="10" w:space="0"/>
              <w:left w:val="single" w:color="000000" w:sz="10" w:space="0"/>
            </w:tcBorders>
          </w:tcPr>
          <w:p w14:paraId="5B7DCAD2">
            <w:pPr>
              <w:pStyle w:val="7"/>
              <w:spacing w:before="40" w:line="225" w:lineRule="auto"/>
              <w:ind w:left="112" w:right="2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项目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名称</w:t>
            </w:r>
          </w:p>
        </w:tc>
        <w:tc>
          <w:tcPr>
            <w:tcW w:w="5214" w:type="dxa"/>
            <w:gridSpan w:val="2"/>
            <w:tcBorders>
              <w:top w:val="single" w:color="000000" w:sz="10" w:space="0"/>
            </w:tcBorders>
            <w:vAlign w:val="center"/>
          </w:tcPr>
          <w:p w14:paraId="4D900C00">
            <w:pPr>
              <w:pStyle w:val="7"/>
              <w:spacing w:before="27" w:line="211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2026年俄罗斯国际采矿机械及煤矿设备展览会</w:t>
            </w:r>
          </w:p>
        </w:tc>
        <w:tc>
          <w:tcPr>
            <w:tcW w:w="2181" w:type="dxa"/>
            <w:tcBorders>
              <w:top w:val="single" w:color="000000" w:sz="10" w:space="0"/>
            </w:tcBorders>
          </w:tcPr>
          <w:p w14:paraId="705D16DA">
            <w:pPr>
              <w:pStyle w:val="7"/>
              <w:spacing w:before="195" w:line="224" w:lineRule="auto"/>
              <w:ind w:left="5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地</w:t>
            </w:r>
            <w:r>
              <w:rPr>
                <w:b/>
                <w:bCs/>
                <w:spacing w:val="6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8"/>
                <w:sz w:val="24"/>
                <w:szCs w:val="24"/>
              </w:rPr>
              <w:t>点</w:t>
            </w:r>
          </w:p>
        </w:tc>
        <w:tc>
          <w:tcPr>
            <w:tcW w:w="2203" w:type="dxa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53980BCB">
            <w:pPr>
              <w:pStyle w:val="7"/>
              <w:spacing w:before="195" w:line="21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新库兹涅茨克</w:t>
            </w:r>
          </w:p>
        </w:tc>
      </w:tr>
      <w:tr w14:paraId="5A8B9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62" w:type="dxa"/>
            <w:tcBorders>
              <w:left w:val="single" w:color="000000" w:sz="10" w:space="0"/>
            </w:tcBorders>
          </w:tcPr>
          <w:p w14:paraId="2F6AE89A">
            <w:pPr>
              <w:pStyle w:val="7"/>
              <w:spacing w:before="195" w:line="220" w:lineRule="auto"/>
              <w:ind w:lef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展期</w:t>
            </w:r>
          </w:p>
        </w:tc>
        <w:tc>
          <w:tcPr>
            <w:tcW w:w="5214" w:type="dxa"/>
            <w:gridSpan w:val="2"/>
          </w:tcPr>
          <w:p w14:paraId="25789666">
            <w:pPr>
              <w:pStyle w:val="7"/>
              <w:spacing w:before="195" w:line="220" w:lineRule="auto"/>
              <w:ind w:left="1182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202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6</w:t>
            </w:r>
            <w:r>
              <w:rPr>
                <w:rFonts w:hint="eastAsia"/>
                <w:b/>
                <w:bCs/>
                <w:sz w:val="24"/>
                <w:szCs w:val="24"/>
              </w:rPr>
              <w:t>年6月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</w:rPr>
              <w:t>-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5日</w:t>
            </w:r>
          </w:p>
        </w:tc>
        <w:tc>
          <w:tcPr>
            <w:tcW w:w="2181" w:type="dxa"/>
          </w:tcPr>
          <w:p w14:paraId="3E170DEA">
            <w:pPr>
              <w:pStyle w:val="7"/>
              <w:spacing w:before="195" w:line="220" w:lineRule="auto"/>
              <w:ind w:left="54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在外天数</w:t>
            </w:r>
          </w:p>
        </w:tc>
        <w:tc>
          <w:tcPr>
            <w:tcW w:w="2203" w:type="dxa"/>
            <w:tcBorders>
              <w:right w:val="single" w:color="000000" w:sz="10" w:space="0"/>
            </w:tcBorders>
            <w:vAlign w:val="center"/>
          </w:tcPr>
          <w:p w14:paraId="1E09B0F0">
            <w:pPr>
              <w:pStyle w:val="7"/>
              <w:spacing w:before="195" w:line="220" w:lineRule="auto"/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暂定</w:t>
            </w:r>
            <w:r>
              <w:rPr>
                <w:rFonts w:hint="eastAsia"/>
                <w:b/>
                <w:bCs/>
                <w:spacing w:val="-10"/>
                <w:sz w:val="24"/>
                <w:szCs w:val="24"/>
                <w:lang w:val="en-US" w:eastAsia="zh-CN"/>
              </w:rPr>
              <w:t>7天</w:t>
            </w:r>
            <w:bookmarkStart w:id="6" w:name="_GoBack"/>
            <w:bookmarkEnd w:id="6"/>
          </w:p>
        </w:tc>
      </w:tr>
      <w:tr w14:paraId="608E8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62" w:type="dxa"/>
            <w:vMerge w:val="restart"/>
            <w:tcBorders>
              <w:left w:val="single" w:color="000000" w:sz="10" w:space="0"/>
              <w:bottom w:val="nil"/>
            </w:tcBorders>
          </w:tcPr>
          <w:p w14:paraId="1E2FEDF4">
            <w:pPr>
              <w:pStyle w:val="7"/>
              <w:spacing w:before="257" w:line="221" w:lineRule="auto"/>
              <w:ind w:left="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5214" w:type="dxa"/>
            <w:gridSpan w:val="2"/>
            <w:vMerge w:val="restart"/>
            <w:tcBorders>
              <w:bottom w:val="nil"/>
            </w:tcBorders>
          </w:tcPr>
          <w:p w14:paraId="4E1FADD2">
            <w:pPr>
              <w:pStyle w:val="7"/>
              <w:spacing w:before="257" w:line="220" w:lineRule="auto"/>
              <w:ind w:left="128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5"/>
                <w:sz w:val="24"/>
                <w:szCs w:val="24"/>
              </w:rPr>
              <w:t>费</w:t>
            </w:r>
            <w:r>
              <w:rPr>
                <w:b/>
                <w:bCs/>
                <w:spacing w:val="3"/>
                <w:sz w:val="24"/>
                <w:szCs w:val="24"/>
              </w:rPr>
              <w:t xml:space="preserve">     </w:t>
            </w:r>
            <w:r>
              <w:rPr>
                <w:b/>
                <w:bCs/>
                <w:spacing w:val="-15"/>
                <w:sz w:val="24"/>
                <w:szCs w:val="24"/>
              </w:rPr>
              <w:t>用</w:t>
            </w:r>
            <w:r>
              <w:rPr>
                <w:b/>
                <w:bCs/>
                <w:spacing w:val="4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15"/>
                <w:sz w:val="24"/>
                <w:szCs w:val="24"/>
              </w:rPr>
              <w:t>项</w:t>
            </w:r>
            <w:r>
              <w:rPr>
                <w:b/>
                <w:bCs/>
                <w:spacing w:val="15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15"/>
                <w:sz w:val="24"/>
                <w:szCs w:val="24"/>
              </w:rPr>
              <w:t>目</w:t>
            </w:r>
          </w:p>
        </w:tc>
        <w:tc>
          <w:tcPr>
            <w:tcW w:w="2181" w:type="dxa"/>
            <w:vMerge w:val="restart"/>
            <w:tcBorders>
              <w:bottom w:val="nil"/>
            </w:tcBorders>
          </w:tcPr>
          <w:p w14:paraId="784BF12F">
            <w:pPr>
              <w:pStyle w:val="7"/>
              <w:spacing w:before="257" w:line="220" w:lineRule="auto"/>
              <w:ind w:left="67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单</w:t>
            </w:r>
            <w:r>
              <w:rPr>
                <w:b/>
                <w:bCs/>
                <w:spacing w:val="6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9"/>
                <w:sz w:val="24"/>
                <w:szCs w:val="24"/>
              </w:rPr>
              <w:t>位</w:t>
            </w:r>
          </w:p>
        </w:tc>
        <w:tc>
          <w:tcPr>
            <w:tcW w:w="2203" w:type="dxa"/>
            <w:tcBorders>
              <w:right w:val="single" w:color="000000" w:sz="10" w:space="0"/>
            </w:tcBorders>
          </w:tcPr>
          <w:p w14:paraId="36B24BD8">
            <w:pPr>
              <w:pStyle w:val="7"/>
              <w:spacing w:before="79" w:line="220" w:lineRule="auto"/>
              <w:ind w:left="6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金</w:t>
            </w:r>
            <w:r>
              <w:rPr>
                <w:b/>
                <w:bCs/>
                <w:spacing w:val="6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9"/>
                <w:sz w:val="24"/>
                <w:szCs w:val="24"/>
              </w:rPr>
              <w:t>额</w:t>
            </w:r>
          </w:p>
        </w:tc>
      </w:tr>
      <w:tr w14:paraId="7E0F7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62" w:type="dxa"/>
            <w:vMerge w:val="continue"/>
            <w:tcBorders>
              <w:top w:val="nil"/>
              <w:left w:val="single" w:color="000000" w:sz="10" w:space="0"/>
            </w:tcBorders>
          </w:tcPr>
          <w:p w14:paraId="580C8E2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14" w:type="dxa"/>
            <w:gridSpan w:val="2"/>
            <w:vMerge w:val="continue"/>
            <w:tcBorders>
              <w:top w:val="nil"/>
            </w:tcBorders>
          </w:tcPr>
          <w:p w14:paraId="5A7455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  <w:vMerge w:val="continue"/>
            <w:tcBorders>
              <w:top w:val="nil"/>
            </w:tcBorders>
          </w:tcPr>
          <w:p w14:paraId="04286A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  <w:tcBorders>
              <w:right w:val="single" w:color="000000" w:sz="10" w:space="0"/>
            </w:tcBorders>
          </w:tcPr>
          <w:p w14:paraId="5B5F021D">
            <w:pPr>
              <w:pStyle w:val="7"/>
              <w:spacing w:before="49" w:line="219" w:lineRule="auto"/>
              <w:ind w:left="376" w:firstLine="233" w:firstLineChars="1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人民币</w:t>
            </w:r>
          </w:p>
        </w:tc>
      </w:tr>
      <w:tr w14:paraId="50E7E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862" w:type="dxa"/>
            <w:tcBorders>
              <w:left w:val="single" w:color="000000" w:sz="10" w:space="0"/>
            </w:tcBorders>
            <w:vAlign w:val="center"/>
          </w:tcPr>
          <w:p w14:paraId="7557C0EA">
            <w:pPr>
              <w:pStyle w:val="7"/>
              <w:spacing w:before="69" w:line="183" w:lineRule="auto"/>
              <w:ind w:left="313"/>
              <w:jc w:val="both"/>
            </w:pPr>
            <w:r>
              <w:t>1</w:t>
            </w:r>
          </w:p>
        </w:tc>
        <w:tc>
          <w:tcPr>
            <w:tcW w:w="1467" w:type="dxa"/>
            <w:vAlign w:val="center"/>
          </w:tcPr>
          <w:p w14:paraId="6EA8999E">
            <w:pPr>
              <w:pStyle w:val="7"/>
              <w:spacing w:before="68" w:line="261" w:lineRule="auto"/>
              <w:ind w:left="342" w:hanging="342"/>
              <w:jc w:val="center"/>
            </w:pPr>
            <w:r>
              <w:rPr>
                <w:spacing w:val="-4"/>
              </w:rPr>
              <w:t>标准</w:t>
            </w:r>
            <w:r>
              <w:rPr>
                <w:spacing w:val="-3"/>
              </w:rPr>
              <w:t>展位费</w:t>
            </w:r>
          </w:p>
        </w:tc>
        <w:tc>
          <w:tcPr>
            <w:tcW w:w="3747" w:type="dxa"/>
            <w:vAlign w:val="center"/>
          </w:tcPr>
          <w:p w14:paraId="7AB599B2">
            <w:pPr>
              <w:pStyle w:val="7"/>
              <w:spacing w:before="54" w:line="265" w:lineRule="auto"/>
              <w:ind w:left="105" w:right="284"/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含升级搭建装修、全展位满喷绘画布、配套桌椅、2张展商证/展位</w:t>
            </w:r>
          </w:p>
          <w:p w14:paraId="72EC6A56">
            <w:pPr>
              <w:pStyle w:val="7"/>
              <w:spacing w:before="54" w:line="265" w:lineRule="auto"/>
              <w:ind w:left="105" w:right="284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  </w:t>
            </w:r>
            <w:r>
              <w:rPr>
                <w:rFonts w:hint="eastAsia"/>
                <w:spacing w:val="-1"/>
                <w:lang w:eastAsia="zh-CN"/>
              </w:rPr>
              <w:t>(</w:t>
            </w:r>
            <w:r>
              <w:rPr>
                <w:spacing w:val="-1"/>
                <w:lang w:eastAsia="zh-CN"/>
              </w:rPr>
              <w:t>标准展位供电禁止烧水</w:t>
            </w:r>
            <w:r>
              <w:rPr>
                <w:rFonts w:hint="eastAsia"/>
                <w:spacing w:val="-1"/>
                <w:lang w:eastAsia="zh-CN"/>
              </w:rPr>
              <w:t>)</w:t>
            </w:r>
          </w:p>
          <w:p w14:paraId="31B87E89">
            <w:pPr>
              <w:pStyle w:val="7"/>
              <w:spacing w:before="86" w:line="222" w:lineRule="auto"/>
              <w:ind w:left="105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双面开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+10%</w:t>
            </w:r>
            <w:r>
              <w:rPr>
                <w:spacing w:val="-1"/>
                <w:lang w:eastAsia="zh-CN"/>
              </w:rPr>
              <w:t>；三面开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+12%</w:t>
            </w:r>
            <w:r>
              <w:rPr>
                <w:spacing w:val="-1"/>
                <w:lang w:eastAsia="zh-CN"/>
              </w:rPr>
              <w:t>；</w:t>
            </w:r>
          </w:p>
          <w:p w14:paraId="41958971">
            <w:pPr>
              <w:pStyle w:val="7"/>
              <w:spacing w:before="86" w:line="222" w:lineRule="auto"/>
              <w:ind w:left="105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开口费按每单位计算。</w:t>
            </w:r>
          </w:p>
        </w:tc>
        <w:tc>
          <w:tcPr>
            <w:tcW w:w="2181" w:type="dxa"/>
            <w:vAlign w:val="center"/>
          </w:tcPr>
          <w:p w14:paraId="526C276B">
            <w:pPr>
              <w:pStyle w:val="7"/>
              <w:spacing w:before="258" w:line="270" w:lineRule="auto"/>
              <w:ind w:left="635" w:right="622" w:hanging="133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pacing w:val="-1"/>
                <w:lang w:eastAsia="zh-CN"/>
              </w:rPr>
              <w:t>每标准展位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M</w:t>
            </w:r>
            <w:r>
              <w:rPr>
                <w:spacing w:val="-2"/>
                <w:lang w:eastAsia="zh-CN"/>
              </w:rPr>
              <w:t>×3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M</w:t>
            </w:r>
          </w:p>
          <w:p w14:paraId="2526EB69">
            <w:pPr>
              <w:pStyle w:val="7"/>
              <w:spacing w:before="8" w:line="261" w:lineRule="auto"/>
              <w:jc w:val="center"/>
              <w:rPr>
                <w:spacing w:val="-3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(最小起租面积</w:t>
            </w:r>
            <w:r>
              <w:rPr>
                <w:spacing w:val="-6"/>
                <w:lang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 xml:space="preserve"> </w:t>
            </w:r>
            <w:bookmarkStart w:id="1" w:name="OLE_LINK15"/>
            <w:bookmarkStart w:id="2" w:name="OLE_LINK14"/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M</w:t>
            </w:r>
            <w:r>
              <w:rPr>
                <w:spacing w:val="-1"/>
                <w:position w:val="10"/>
                <w:sz w:val="11"/>
                <w:szCs w:val="11"/>
                <w:lang w:eastAsia="zh-CN"/>
              </w:rPr>
              <w:t>2</w:t>
            </w:r>
            <w:bookmarkEnd w:id="1"/>
            <w:bookmarkEnd w:id="2"/>
            <w:r>
              <w:rPr>
                <w:rFonts w:hint="eastAsia"/>
                <w:spacing w:val="-6"/>
                <w:lang w:eastAsia="zh-CN"/>
              </w:rPr>
              <w:t>)</w:t>
            </w:r>
          </w:p>
          <w:p w14:paraId="0D46EF74">
            <w:pPr>
              <w:pStyle w:val="7"/>
              <w:spacing w:before="8" w:line="261" w:lineRule="auto"/>
              <w:jc w:val="center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其它面积照此参</w:t>
            </w:r>
            <w:r>
              <w:rPr>
                <w:spacing w:val="-6"/>
                <w:lang w:eastAsia="zh-CN"/>
              </w:rPr>
              <w:t>考</w:t>
            </w:r>
          </w:p>
        </w:tc>
        <w:tc>
          <w:tcPr>
            <w:tcW w:w="2203" w:type="dxa"/>
            <w:tcBorders>
              <w:right w:val="single" w:color="000000" w:sz="10" w:space="0"/>
            </w:tcBorders>
            <w:vAlign w:val="center"/>
          </w:tcPr>
          <w:p w14:paraId="3777D816">
            <w:pPr>
              <w:pStyle w:val="7"/>
              <w:spacing w:before="68" w:line="303" w:lineRule="auto"/>
              <w:ind w:firstLine="210" w:firstLineChars="100"/>
              <w:jc w:val="center"/>
              <w:rPr>
                <w:b/>
                <w:bCs/>
                <w:spacing w:val="-4"/>
                <w:sz w:val="16"/>
                <w:szCs w:val="16"/>
                <w:lang w:eastAsia="zh-CN"/>
              </w:rPr>
            </w:pPr>
            <w:r>
              <w:rPr>
                <w:rFonts w:hint="eastAsia" w:cs="Arial"/>
                <w:lang w:eastAsia="zh-CN"/>
              </w:rPr>
              <w:t>52800</w:t>
            </w:r>
            <w:r>
              <w:rPr>
                <w:rFonts w:hint="eastAsia" w:cs="Arial"/>
              </w:rPr>
              <w:t>元/</w:t>
            </w:r>
            <w:r>
              <w:rPr>
                <w:rFonts w:hint="eastAsia" w:cs="Arial"/>
                <w:lang w:eastAsia="zh-CN"/>
              </w:rPr>
              <w:t>9</w:t>
            </w:r>
            <w:r>
              <w:rPr>
                <w:rFonts w:hint="eastAsia" w:cs="Arial"/>
              </w:rPr>
              <w:t>平方米</w:t>
            </w:r>
          </w:p>
        </w:tc>
      </w:tr>
      <w:tr w14:paraId="174A0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862" w:type="dxa"/>
            <w:tcBorders>
              <w:left w:val="single" w:color="000000" w:sz="10" w:space="0"/>
            </w:tcBorders>
            <w:vAlign w:val="center"/>
          </w:tcPr>
          <w:p w14:paraId="7992B3EE">
            <w:pPr>
              <w:pStyle w:val="7"/>
              <w:spacing w:before="68" w:line="182" w:lineRule="auto"/>
              <w:ind w:left="300"/>
              <w:jc w:val="both"/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467" w:type="dxa"/>
            <w:vAlign w:val="center"/>
          </w:tcPr>
          <w:p w14:paraId="559EBADD">
            <w:pPr>
              <w:pStyle w:val="7"/>
              <w:spacing w:before="69" w:line="221" w:lineRule="auto"/>
              <w:ind w:left="240"/>
            </w:pPr>
            <w:r>
              <w:rPr>
                <w:spacing w:val="-3"/>
              </w:rPr>
              <w:t>室内光地</w:t>
            </w:r>
          </w:p>
        </w:tc>
        <w:tc>
          <w:tcPr>
            <w:tcW w:w="3747" w:type="dxa"/>
            <w:vAlign w:val="center"/>
          </w:tcPr>
          <w:p w14:paraId="2087FEC8">
            <w:pPr>
              <w:pStyle w:val="7"/>
              <w:spacing w:before="151" w:line="222" w:lineRule="auto"/>
              <w:ind w:left="104"/>
              <w:jc w:val="center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双面开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+7%</w:t>
            </w:r>
            <w:r>
              <w:rPr>
                <w:spacing w:val="-1"/>
                <w:lang w:eastAsia="zh-CN"/>
              </w:rPr>
              <w:t>；三面开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+12%</w:t>
            </w:r>
            <w:r>
              <w:rPr>
                <w:spacing w:val="-1"/>
                <w:lang w:eastAsia="zh-CN"/>
              </w:rPr>
              <w:t>；</w:t>
            </w:r>
          </w:p>
          <w:p w14:paraId="0CB9CD8F">
            <w:pPr>
              <w:pStyle w:val="7"/>
              <w:spacing w:before="107" w:line="221" w:lineRule="auto"/>
              <w:ind w:left="124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pacing w:val="-2"/>
                <w:lang w:eastAsia="zh-CN"/>
              </w:rPr>
              <w:t>四面开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+15%</w:t>
            </w:r>
            <w:r>
              <w:rPr>
                <w:spacing w:val="-2"/>
                <w:lang w:eastAsia="zh-CN"/>
              </w:rPr>
              <w:t>；双层搭建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+80%。</w:t>
            </w:r>
          </w:p>
        </w:tc>
        <w:tc>
          <w:tcPr>
            <w:tcW w:w="2181" w:type="dxa"/>
            <w:vAlign w:val="center"/>
          </w:tcPr>
          <w:p w14:paraId="662B2138">
            <w:pPr>
              <w:pStyle w:val="7"/>
              <w:spacing w:before="295" w:line="225" w:lineRule="auto"/>
              <w:jc w:val="center"/>
            </w:pPr>
            <w:bookmarkStart w:id="3" w:name="OLE_LINK6"/>
            <w:bookmarkStart w:id="4" w:name="OLE_LINK7"/>
            <w:r>
              <w:rPr>
                <w:spacing w:val="-4"/>
              </w:rPr>
              <w:t>每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</w:t>
            </w:r>
            <w:r>
              <w:rPr>
                <w:spacing w:val="-4"/>
                <w:position w:val="10"/>
                <w:sz w:val="11"/>
                <w:szCs w:val="11"/>
              </w:rPr>
              <w:t>2</w:t>
            </w:r>
            <w:bookmarkEnd w:id="3"/>
            <w:bookmarkEnd w:id="4"/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36 </w:t>
            </w:r>
            <w:bookmarkStart w:id="5" w:name="OLE_LINK8"/>
            <w:r>
              <w:rPr>
                <w:rFonts w:ascii="Times New Roman" w:hAnsi="Times New Roman" w:eastAsia="Times New Roman" w:cs="Times New Roman"/>
                <w:spacing w:val="-1"/>
              </w:rPr>
              <w:t>M</w:t>
            </w:r>
            <w:r>
              <w:rPr>
                <w:spacing w:val="-1"/>
                <w:position w:val="10"/>
                <w:sz w:val="11"/>
                <w:szCs w:val="11"/>
              </w:rPr>
              <w:t>2</w:t>
            </w:r>
            <w:bookmarkEnd w:id="5"/>
            <w:r>
              <w:rPr>
                <w:spacing w:val="-19"/>
                <w:position w:val="10"/>
                <w:sz w:val="11"/>
                <w:szCs w:val="11"/>
              </w:rPr>
              <w:t xml:space="preserve"> </w:t>
            </w:r>
            <w:r>
              <w:rPr>
                <w:spacing w:val="-1"/>
              </w:rPr>
              <w:t>起租）</w:t>
            </w:r>
          </w:p>
        </w:tc>
        <w:tc>
          <w:tcPr>
            <w:tcW w:w="2203" w:type="dxa"/>
            <w:tcBorders>
              <w:right w:val="single" w:color="000000" w:sz="10" w:space="0"/>
            </w:tcBorders>
            <w:vAlign w:val="center"/>
          </w:tcPr>
          <w:p w14:paraId="52A017FE">
            <w:pPr>
              <w:pStyle w:val="7"/>
              <w:spacing w:before="68" w:line="221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lang w:eastAsia="zh-CN"/>
              </w:rPr>
              <w:t>2180元/平方米</w:t>
            </w:r>
          </w:p>
        </w:tc>
      </w:tr>
      <w:tr w14:paraId="66DE9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62" w:type="dxa"/>
            <w:tcBorders>
              <w:left w:val="single" w:color="000000" w:sz="10" w:space="0"/>
            </w:tcBorders>
          </w:tcPr>
          <w:p w14:paraId="5D7EE084">
            <w:pPr>
              <w:pStyle w:val="7"/>
              <w:spacing w:before="233" w:line="182" w:lineRule="auto"/>
              <w:ind w:left="30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1467" w:type="dxa"/>
          </w:tcPr>
          <w:p w14:paraId="4E32BC58">
            <w:pPr>
              <w:pStyle w:val="7"/>
              <w:spacing w:before="229" w:line="221" w:lineRule="auto"/>
              <w:ind w:left="240"/>
            </w:pPr>
            <w:r>
              <w:rPr>
                <w:spacing w:val="-3"/>
              </w:rPr>
              <w:t>室外光地</w:t>
            </w:r>
          </w:p>
        </w:tc>
        <w:tc>
          <w:tcPr>
            <w:tcW w:w="3747" w:type="dxa"/>
            <w:vAlign w:val="center"/>
          </w:tcPr>
          <w:p w14:paraId="60BA9A96">
            <w:pPr>
              <w:pStyle w:val="7"/>
              <w:spacing w:before="229" w:line="221" w:lineRule="auto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双层搭建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+80%</w:t>
            </w:r>
          </w:p>
        </w:tc>
        <w:tc>
          <w:tcPr>
            <w:tcW w:w="2181" w:type="dxa"/>
            <w:vAlign w:val="center"/>
          </w:tcPr>
          <w:p w14:paraId="5DDD8E62">
            <w:pPr>
              <w:pStyle w:val="7"/>
              <w:spacing w:before="193" w:line="225" w:lineRule="auto"/>
              <w:ind w:left="113"/>
              <w:jc w:val="center"/>
            </w:pPr>
            <w:r>
              <w:rPr>
                <w:spacing w:val="-4"/>
              </w:rPr>
              <w:t>每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</w:t>
            </w:r>
            <w:r>
              <w:rPr>
                <w:spacing w:val="-4"/>
                <w:position w:val="10"/>
                <w:sz w:val="11"/>
                <w:szCs w:val="11"/>
              </w:rPr>
              <w:t>2</w:t>
            </w:r>
            <w:r>
              <w:rPr>
                <w:spacing w:val="-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spacing w:val="-8"/>
                <w:lang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0 M</w:t>
            </w:r>
            <w:r>
              <w:rPr>
                <w:spacing w:val="-3"/>
                <w:position w:val="10"/>
                <w:sz w:val="11"/>
                <w:szCs w:val="11"/>
              </w:rPr>
              <w:t>2</w:t>
            </w:r>
            <w:r>
              <w:rPr>
                <w:spacing w:val="-20"/>
                <w:position w:val="10"/>
                <w:sz w:val="11"/>
                <w:szCs w:val="11"/>
              </w:rPr>
              <w:t xml:space="preserve"> </w:t>
            </w:r>
            <w:r>
              <w:rPr>
                <w:spacing w:val="-3"/>
              </w:rPr>
              <w:t>起租）</w:t>
            </w:r>
          </w:p>
        </w:tc>
        <w:tc>
          <w:tcPr>
            <w:tcW w:w="2203" w:type="dxa"/>
            <w:tcBorders>
              <w:right w:val="single" w:color="000000" w:sz="10" w:space="0"/>
            </w:tcBorders>
            <w:vAlign w:val="center"/>
          </w:tcPr>
          <w:p w14:paraId="438287D2">
            <w:pPr>
              <w:pStyle w:val="7"/>
              <w:spacing w:before="230" w:line="221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lang w:eastAsia="zh-CN"/>
              </w:rPr>
              <w:t>2780元/平方米</w:t>
            </w:r>
          </w:p>
        </w:tc>
      </w:tr>
      <w:tr w14:paraId="3A3CA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62" w:type="dxa"/>
            <w:tcBorders>
              <w:left w:val="single" w:color="000000" w:sz="10" w:space="0"/>
            </w:tcBorders>
            <w:vAlign w:val="center"/>
          </w:tcPr>
          <w:p w14:paraId="3C47F679">
            <w:pPr>
              <w:pStyle w:val="7"/>
              <w:spacing w:before="68" w:line="182" w:lineRule="auto"/>
              <w:ind w:left="296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1467" w:type="dxa"/>
            <w:vAlign w:val="center"/>
          </w:tcPr>
          <w:p w14:paraId="3DA634A2">
            <w:pPr>
              <w:pStyle w:val="7"/>
              <w:spacing w:before="69" w:line="220" w:lineRule="auto"/>
              <w:jc w:val="center"/>
            </w:pPr>
            <w:r>
              <w:rPr>
                <w:spacing w:val="-1"/>
              </w:rPr>
              <w:t>会刊</w:t>
            </w:r>
            <w:r>
              <w:rPr>
                <w:rFonts w:hint="eastAsia"/>
                <w:spacing w:val="-1"/>
                <w:lang w:eastAsia="zh-Hans"/>
              </w:rPr>
              <w:t>注册</w:t>
            </w:r>
            <w:r>
              <w:rPr>
                <w:spacing w:val="-1"/>
              </w:rPr>
              <w:t>费</w:t>
            </w:r>
          </w:p>
        </w:tc>
        <w:tc>
          <w:tcPr>
            <w:tcW w:w="3747" w:type="dxa"/>
            <w:vAlign w:val="center"/>
          </w:tcPr>
          <w:p w14:paraId="3724FD64">
            <w:pPr>
              <w:pStyle w:val="7"/>
              <w:spacing w:before="69" w:line="220" w:lineRule="auto"/>
              <w:ind w:left="103"/>
              <w:jc w:val="center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主办方强制收取</w:t>
            </w:r>
            <w:r>
              <w:rPr>
                <w:spacing w:val="-1"/>
                <w:lang w:eastAsia="zh-CN"/>
              </w:rPr>
              <w:t>会刊注册及进馆证费</w:t>
            </w:r>
          </w:p>
        </w:tc>
        <w:tc>
          <w:tcPr>
            <w:tcW w:w="2181" w:type="dxa"/>
            <w:vAlign w:val="center"/>
          </w:tcPr>
          <w:p w14:paraId="428085F1">
            <w:pPr>
              <w:pStyle w:val="7"/>
              <w:spacing w:before="68" w:line="221" w:lineRule="auto"/>
              <w:jc w:val="center"/>
              <w:rPr>
                <w:lang w:eastAsia="zh-CN"/>
              </w:rPr>
            </w:pPr>
            <w:r>
              <w:rPr>
                <w:spacing w:val="-2"/>
              </w:rPr>
              <w:t>每</w:t>
            </w:r>
            <w:r>
              <w:rPr>
                <w:rFonts w:hint="eastAsia"/>
                <w:spacing w:val="-2"/>
                <w:lang w:eastAsia="zh-Hans"/>
              </w:rPr>
              <w:t>家</w:t>
            </w:r>
            <w:r>
              <w:rPr>
                <w:spacing w:val="-2"/>
              </w:rPr>
              <w:t>参展单位</w:t>
            </w:r>
          </w:p>
        </w:tc>
        <w:tc>
          <w:tcPr>
            <w:tcW w:w="2203" w:type="dxa"/>
            <w:tcBorders>
              <w:right w:val="single" w:color="000000" w:sz="10" w:space="0"/>
            </w:tcBorders>
            <w:vAlign w:val="center"/>
          </w:tcPr>
          <w:p w14:paraId="2B8FEB92">
            <w:pPr>
              <w:pStyle w:val="7"/>
              <w:spacing w:before="108" w:line="262" w:lineRule="auto"/>
              <w:ind w:left="514" w:right="235" w:hanging="38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 w:cs="Tahoma"/>
                <w:lang w:eastAsia="zh-CN"/>
              </w:rPr>
              <w:t>3800</w:t>
            </w:r>
            <w:r>
              <w:rPr>
                <w:rFonts w:hint="eastAsia" w:cs="Tahoma"/>
              </w:rPr>
              <w:t>元/单位</w:t>
            </w:r>
          </w:p>
        </w:tc>
      </w:tr>
      <w:tr w14:paraId="2244C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862" w:type="dxa"/>
            <w:tcBorders>
              <w:left w:val="single" w:color="000000" w:sz="10" w:space="0"/>
            </w:tcBorders>
            <w:vAlign w:val="center"/>
          </w:tcPr>
          <w:p w14:paraId="3820AE91">
            <w:pPr>
              <w:pStyle w:val="7"/>
              <w:spacing w:before="226" w:line="181" w:lineRule="auto"/>
              <w:ind w:left="30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1467" w:type="dxa"/>
            <w:vAlign w:val="center"/>
          </w:tcPr>
          <w:p w14:paraId="2F391524">
            <w:pPr>
              <w:pStyle w:val="7"/>
              <w:spacing w:before="190" w:line="221" w:lineRule="auto"/>
              <w:ind w:left="342"/>
              <w:jc w:val="both"/>
              <w:rPr>
                <w:lang w:eastAsia="zh-Hans"/>
              </w:rPr>
            </w:pPr>
            <w:r>
              <w:rPr>
                <w:rFonts w:hint="eastAsia"/>
                <w:spacing w:val="-2"/>
                <w:lang w:eastAsia="zh-Hans"/>
              </w:rPr>
              <w:t>报名费</w:t>
            </w:r>
          </w:p>
        </w:tc>
        <w:tc>
          <w:tcPr>
            <w:tcW w:w="3747" w:type="dxa"/>
            <w:vAlign w:val="center"/>
          </w:tcPr>
          <w:p w14:paraId="596605C7">
            <w:pPr>
              <w:pStyle w:val="7"/>
              <w:spacing w:before="189" w:line="221" w:lineRule="auto"/>
              <w:ind w:left="82" w:leftChars="39"/>
              <w:jc w:val="center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主办方强制收</w:t>
            </w:r>
          </w:p>
        </w:tc>
        <w:tc>
          <w:tcPr>
            <w:tcW w:w="2181" w:type="dxa"/>
            <w:vAlign w:val="center"/>
          </w:tcPr>
          <w:p w14:paraId="52086E11">
            <w:pPr>
              <w:pStyle w:val="7"/>
              <w:spacing w:before="189" w:line="221" w:lineRule="auto"/>
              <w:jc w:val="center"/>
            </w:pPr>
            <w:r>
              <w:rPr>
                <w:spacing w:val="-2"/>
              </w:rPr>
              <w:t>每</w:t>
            </w:r>
            <w:r>
              <w:rPr>
                <w:rFonts w:hint="eastAsia"/>
                <w:spacing w:val="-2"/>
                <w:lang w:eastAsia="zh-Hans"/>
              </w:rPr>
              <w:t>家</w:t>
            </w:r>
            <w:r>
              <w:rPr>
                <w:spacing w:val="-2"/>
              </w:rPr>
              <w:t>参展单位</w:t>
            </w:r>
          </w:p>
        </w:tc>
        <w:tc>
          <w:tcPr>
            <w:tcW w:w="2203" w:type="dxa"/>
            <w:tcBorders>
              <w:right w:val="single" w:color="000000" w:sz="10" w:space="0"/>
            </w:tcBorders>
            <w:vAlign w:val="center"/>
          </w:tcPr>
          <w:p w14:paraId="176E5AE6">
            <w:pPr>
              <w:pStyle w:val="7"/>
              <w:spacing w:before="220" w:line="221" w:lineRule="auto"/>
              <w:jc w:val="center"/>
              <w:rPr>
                <w:lang w:eastAsia="zh-CN"/>
              </w:rPr>
            </w:pPr>
            <w:r>
              <w:rPr>
                <w:rFonts w:hint="eastAsia"/>
              </w:rPr>
              <w:t>3000元/单位</w:t>
            </w:r>
          </w:p>
        </w:tc>
      </w:tr>
      <w:tr w14:paraId="3EA86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2" w:hRule="atLeast"/>
        </w:trPr>
        <w:tc>
          <w:tcPr>
            <w:tcW w:w="10460" w:type="dxa"/>
            <w:gridSpan w:val="5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7447AD59">
            <w:pPr>
              <w:pStyle w:val="7"/>
              <w:spacing w:before="42" w:line="221" w:lineRule="auto"/>
              <w:ind w:left="241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参展须知：</w:t>
            </w:r>
          </w:p>
          <w:p w14:paraId="03FC0E01">
            <w:pPr>
              <w:pStyle w:val="7"/>
              <w:spacing w:before="20" w:line="235" w:lineRule="auto"/>
              <w:ind w:left="241" w:right="236" w:firstLine="14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1.本合同书一经确认，参展单位须按组展单位发出的付款通知书交齐相关参展费用，否则展位不予保留。如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参展企业未按时交齐所有款项，被视为自动放弃参展处理，已交款</w:t>
            </w:r>
            <w:r>
              <w:rPr>
                <w:spacing w:val="1"/>
                <w:lang w:eastAsia="zh-CN"/>
              </w:rPr>
              <w:t>不退，组团单位保留处理展位的权力。参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展单位中途放弃或终止参展的，组展单位有权不退还已支付的费用并保留追索由此可能带</w:t>
            </w:r>
            <w:r>
              <w:rPr>
                <w:spacing w:val="1"/>
                <w:lang w:eastAsia="zh-CN"/>
              </w:rPr>
              <w:t>来的损失（包括不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限于经济损失）。</w:t>
            </w:r>
          </w:p>
          <w:p w14:paraId="5248CBDF">
            <w:pPr>
              <w:pStyle w:val="7"/>
              <w:spacing w:before="22" w:line="229" w:lineRule="auto"/>
              <w:ind w:left="243" w:right="236" w:hanging="1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2.参展单位要严格按照组展单位下发的通知和规定，如期提交各种信息和资料，按</w:t>
            </w:r>
            <w:r>
              <w:rPr>
                <w:spacing w:val="1"/>
                <w:lang w:eastAsia="zh-CN"/>
              </w:rPr>
              <w:t>期完成展品集运。如因主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办方原因调整展位，展位以最终调整为准。</w:t>
            </w:r>
          </w:p>
          <w:p w14:paraId="5CA5EF90">
            <w:pPr>
              <w:pStyle w:val="7"/>
              <w:spacing w:before="23" w:line="229" w:lineRule="auto"/>
              <w:ind w:left="240" w:right="238" w:firstLine="3"/>
              <w:rPr>
                <w:lang w:eastAsia="zh-CN"/>
              </w:rPr>
            </w:pPr>
            <w:r>
              <w:rPr>
                <w:lang w:eastAsia="zh-CN"/>
              </w:rPr>
              <w:t>3. 由于不可抗力原因或组展单位及主办单位不可控制</w:t>
            </w:r>
            <w:r>
              <w:rPr>
                <w:spacing w:val="-1"/>
                <w:lang w:eastAsia="zh-CN"/>
              </w:rPr>
              <w:t>的原因导致本次展会发生变更或取消的，组展单位不承</w:t>
            </w:r>
            <w:r>
              <w:rPr>
                <w:lang w:eastAsia="zh-CN"/>
              </w:rPr>
              <w:t xml:space="preserve"> 担违约责任。由于不可抗力造成的相应后果</w:t>
            </w:r>
            <w:r>
              <w:rPr>
                <w:spacing w:val="-1"/>
                <w:lang w:eastAsia="zh-CN"/>
              </w:rPr>
              <w:t>（包括但不限于费用等）由各方自行承担。</w:t>
            </w:r>
          </w:p>
          <w:p w14:paraId="26D61120">
            <w:pPr>
              <w:pStyle w:val="7"/>
              <w:spacing w:before="22" w:line="229" w:lineRule="auto"/>
              <w:ind w:left="247" w:right="238" w:hanging="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4.以人民币结算，不接受外币付款。汇率如有大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幅变化，不排除调整价格的可能。</w:t>
            </w:r>
          </w:p>
          <w:p w14:paraId="3EE7F4E2">
            <w:pPr>
              <w:pStyle w:val="7"/>
              <w:spacing w:before="25" w:line="229" w:lineRule="auto"/>
              <w:ind w:left="241" w:right="238" w:firstLine="2"/>
              <w:rPr>
                <w:lang w:eastAsia="zh-CN"/>
              </w:rPr>
            </w:pPr>
            <w:r>
              <w:rPr>
                <w:lang w:eastAsia="zh-CN"/>
              </w:rPr>
              <w:t>5.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lang w:eastAsia="zh-CN"/>
              </w:rPr>
              <w:t>参展单位应严格遵守展会各项规定，不侵犯他人合法权益（包括</w:t>
            </w:r>
            <w:r>
              <w:rPr>
                <w:spacing w:val="-1"/>
                <w:lang w:eastAsia="zh-CN"/>
              </w:rPr>
              <w:t>但不限于知识产权</w:t>
            </w:r>
            <w:r>
              <w:rPr>
                <w:spacing w:val="7"/>
                <w:lang w:eastAsia="zh-CN"/>
              </w:rPr>
              <w:t>），</w:t>
            </w:r>
            <w:r>
              <w:rPr>
                <w:spacing w:val="-1"/>
                <w:lang w:eastAsia="zh-CN"/>
              </w:rPr>
              <w:t>如违反规定或发生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侵权行为导致给组展单位或其他参展商和主办方带来损失的，应承担相应责任。</w:t>
            </w:r>
          </w:p>
          <w:p w14:paraId="500823A2">
            <w:pPr>
              <w:pStyle w:val="7"/>
              <w:spacing w:before="19" w:line="231" w:lineRule="auto"/>
              <w:ind w:left="246" w:right="268" w:hanging="6"/>
              <w:rPr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 xml:space="preserve">6.  </w:t>
            </w:r>
            <w:r>
              <w:rPr>
                <w:spacing w:val="-2"/>
                <w:lang w:eastAsia="zh-CN"/>
              </w:rPr>
              <w:t>参展单位须保证展品不破坏地面并不超重，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否则将导致无法参展，并由参展企业自行承</w:t>
            </w:r>
            <w:r>
              <w:rPr>
                <w:spacing w:val="-2"/>
                <w:lang w:eastAsia="zh-CN"/>
              </w:rPr>
              <w:t>担相关损失。</w:t>
            </w:r>
          </w:p>
          <w:p w14:paraId="19C0D163">
            <w:pPr>
              <w:pStyle w:val="7"/>
              <w:spacing w:before="20" w:line="220" w:lineRule="auto"/>
              <w:ind w:left="245"/>
              <w:rPr>
                <w:lang w:eastAsia="zh-CN"/>
              </w:rPr>
            </w:pPr>
            <w:r>
              <w:rPr>
                <w:lang w:eastAsia="zh-CN"/>
              </w:rPr>
              <w:t>7.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lang w:eastAsia="zh-CN"/>
              </w:rPr>
              <w:t>标准展位电量仅支持笔记本及手机充电，禁止烧水。如需</w:t>
            </w:r>
            <w:r>
              <w:rPr>
                <w:spacing w:val="-1"/>
                <w:lang w:eastAsia="zh-CN"/>
              </w:rPr>
              <w:t>提高电量，参展单位须额外增租。</w:t>
            </w:r>
          </w:p>
          <w:p w14:paraId="1921B5B9">
            <w:pPr>
              <w:pStyle w:val="7"/>
              <w:spacing w:before="23" w:line="221" w:lineRule="auto"/>
              <w:ind w:left="244"/>
              <w:rPr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8.</w:t>
            </w:r>
            <w:r>
              <w:rPr>
                <w:rFonts w:ascii="Times New Roman" w:hAnsi="Times New Roman" w:eastAsia="Times New Roman" w:cs="Times New Roman"/>
                <w:spacing w:val="14"/>
                <w:lang w:eastAsia="zh-CN"/>
              </w:rPr>
              <w:t xml:space="preserve">  </w:t>
            </w:r>
            <w:r>
              <w:rPr>
                <w:lang w:eastAsia="zh-CN"/>
              </w:rPr>
              <w:t>双方因参展发生争议，应友好协商解决，协商不成的，将争议提</w:t>
            </w:r>
            <w:r>
              <w:rPr>
                <w:spacing w:val="-1"/>
                <w:lang w:eastAsia="zh-CN"/>
              </w:rPr>
              <w:t>交组展单位所在地法院诉讼解决。</w:t>
            </w:r>
          </w:p>
          <w:p w14:paraId="697AE4AF">
            <w:pPr>
              <w:pStyle w:val="7"/>
              <w:spacing w:before="20" w:line="225" w:lineRule="auto"/>
              <w:ind w:left="240" w:right="238"/>
              <w:rPr>
                <w:spacing w:val="-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16"/>
                <w:lang w:eastAsia="zh-CN"/>
              </w:rPr>
              <w:t xml:space="preserve">  </w:t>
            </w:r>
            <w:r>
              <w:rPr>
                <w:lang w:eastAsia="zh-CN"/>
              </w:rPr>
              <w:t>申请表（合同书）及参展须知一式二份，经双方签章确认后具有合同效力。签章后的传真件与原件具有同等效力。未尽事宜，请按照招展通知及随后发放的各种相关通知的具体内容</w:t>
            </w:r>
            <w:r>
              <w:rPr>
                <w:spacing w:val="-1"/>
                <w:lang w:eastAsia="zh-CN"/>
              </w:rPr>
              <w:t>确定。</w:t>
            </w:r>
          </w:p>
          <w:p w14:paraId="3995A64D">
            <w:pPr>
              <w:pStyle w:val="7"/>
              <w:spacing w:before="20" w:line="225" w:lineRule="auto"/>
              <w:ind w:left="240" w:right="23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10.</w:t>
            </w:r>
            <w:r>
              <w:rPr>
                <w:rFonts w:hint="eastAsia"/>
                <w:spacing w:val="-1"/>
                <w:lang w:eastAsia="zh-CN"/>
              </w:rPr>
              <w:t>如后续产生除上述以外的其他参展相关费用，以双方附件确认金额为准。</w:t>
            </w:r>
          </w:p>
        </w:tc>
      </w:tr>
    </w:tbl>
    <w:p w14:paraId="40574D9F">
      <w:pPr>
        <w:rPr>
          <w:lang w:eastAsia="zh-CN"/>
        </w:rPr>
      </w:pPr>
    </w:p>
    <w:sectPr>
      <w:pgSz w:w="11907" w:h="16839"/>
      <w:pgMar w:top="1404" w:right="724" w:bottom="0" w:left="69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GJkZjMzYzJhNjQzYzlmN2VlNTgzOTVjYWE4NTI4MzIifQ=="/>
  </w:docVars>
  <w:rsids>
    <w:rsidRoot w:val="007A6E2F"/>
    <w:rsid w:val="0000562E"/>
    <w:rsid w:val="00100779"/>
    <w:rsid w:val="00331B8F"/>
    <w:rsid w:val="0053391C"/>
    <w:rsid w:val="00683C3D"/>
    <w:rsid w:val="007A6E2F"/>
    <w:rsid w:val="00815197"/>
    <w:rsid w:val="00881F58"/>
    <w:rsid w:val="0091060C"/>
    <w:rsid w:val="00927833"/>
    <w:rsid w:val="00944B64"/>
    <w:rsid w:val="00B97EDF"/>
    <w:rsid w:val="00BF680B"/>
    <w:rsid w:val="00C405EA"/>
    <w:rsid w:val="00C945A7"/>
    <w:rsid w:val="00C945CB"/>
    <w:rsid w:val="00C9700B"/>
    <w:rsid w:val="00CF0CD8"/>
    <w:rsid w:val="00E2351C"/>
    <w:rsid w:val="00EC4746"/>
    <w:rsid w:val="00F733CF"/>
    <w:rsid w:val="00FF1968"/>
    <w:rsid w:val="195F3C5D"/>
    <w:rsid w:val="308E6E19"/>
    <w:rsid w:val="39FFB9FF"/>
    <w:rsid w:val="51777172"/>
    <w:rsid w:val="67BFC5F0"/>
    <w:rsid w:val="68644D17"/>
    <w:rsid w:val="6A9E6B2D"/>
    <w:rsid w:val="6C222316"/>
    <w:rsid w:val="6FCFBFD4"/>
    <w:rsid w:val="75DE74C6"/>
    <w:rsid w:val="7C980862"/>
    <w:rsid w:val="7DF18705"/>
    <w:rsid w:val="97FABE54"/>
    <w:rsid w:val="B7771EE6"/>
    <w:rsid w:val="BEFEDA21"/>
    <w:rsid w:val="CDEB7A91"/>
    <w:rsid w:val="D7DF1CB5"/>
    <w:rsid w:val="DEBB4EA2"/>
    <w:rsid w:val="FBF59007"/>
    <w:rsid w:val="FD4F5E29"/>
    <w:rsid w:val="FDEB87A5"/>
    <w:rsid w:val="FF3C35F5"/>
    <w:rsid w:val="FF6DE3BA"/>
    <w:rsid w:val="FFD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</w:rPr>
  </w:style>
  <w:style w:type="character" w:customStyle="1" w:styleId="8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955</Words>
  <Characters>1022</Characters>
  <Lines>8</Lines>
  <Paragraphs>2</Paragraphs>
  <TotalTime>1</TotalTime>
  <ScaleCrop>false</ScaleCrop>
  <LinksUpToDate>false</LinksUpToDate>
  <CharactersWithSpaces>1078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2026-04-15T06:39:00Z</dcterms:created>
  <dc:creator>展览十部 纪效伟</dc:creator>
  <cp:lastModifiedBy>Aegel</cp:lastModifiedBy>
  <dcterms:modified xsi:type="dcterms:W3CDTF">2026-04-16T07:33:05Z</dcterms:modified>
  <dc:title>中国工程机械工业协会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2024-09-12T14:11:43Z</vt:filetime>
  </property>
  <property fmtid="{D5CDD505-2E9C-101B-9397-08002B2CF9AE}" pid="4" name="KSOProductBuildVer">
    <vt:lpwstr>2052-12.1.0.25225</vt:lpwstr>
  </property>
  <property fmtid="{D5CDD505-2E9C-101B-9397-08002B2CF9AE}" pid="5" name="ICV">
    <vt:lpwstr>0C365FDFBBB648AFADABD60AE14F5FDB_12</vt:lpwstr>
  </property>
  <property fmtid="{D5CDD505-2E9C-101B-9397-08002B2CF9AE}" pid="6" name="KSOTemplateDocerSaveRecord">
    <vt:lpwstr>eyJoZGlkIjoiM2QyNWIwOThhMGEzNDAxZGMzMjFlNDVhYTMzNmM1MzAiLCJ1c2VySWQiOiIyNDMzMDk4ODYifQ==</vt:lpwstr>
  </property>
</Properties>
</file>